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FD5" w:rsidRDefault="00995FD5">
      <w:pPr>
        <w:pStyle w:val="ConsPlusTitlePage"/>
      </w:pPr>
      <w:bookmarkStart w:id="0" w:name="_GoBack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bookmarkEnd w:id="0"/>
      <w:r>
        <w:br/>
      </w:r>
    </w:p>
    <w:p w:rsidR="00995FD5" w:rsidRDefault="00995FD5">
      <w:pPr>
        <w:pStyle w:val="ConsPlusNormal"/>
        <w:jc w:val="both"/>
        <w:outlineLvl w:val="0"/>
      </w:pPr>
    </w:p>
    <w:p w:rsidR="00995FD5" w:rsidRDefault="00995FD5">
      <w:pPr>
        <w:pStyle w:val="ConsPlusTitle"/>
        <w:jc w:val="center"/>
      </w:pPr>
      <w:r>
        <w:t>МИНИСТЕРСТВО ФИНАНСОВ РОССИЙСКОЙ ФЕДЕРАЦИИ</w:t>
      </w:r>
    </w:p>
    <w:p w:rsidR="00995FD5" w:rsidRDefault="00995FD5">
      <w:pPr>
        <w:pStyle w:val="ConsPlusTitle"/>
        <w:jc w:val="both"/>
      </w:pPr>
    </w:p>
    <w:p w:rsidR="00995FD5" w:rsidRDefault="00995FD5">
      <w:pPr>
        <w:pStyle w:val="ConsPlusTitle"/>
        <w:jc w:val="center"/>
      </w:pPr>
      <w:r>
        <w:t>ФЕДЕРАЛЬНОЕ КАЗНАЧЕЙСТВО</w:t>
      </w:r>
    </w:p>
    <w:p w:rsidR="00995FD5" w:rsidRDefault="00995FD5">
      <w:pPr>
        <w:pStyle w:val="ConsPlusTitle"/>
        <w:jc w:val="both"/>
      </w:pPr>
    </w:p>
    <w:p w:rsidR="00995FD5" w:rsidRDefault="00995FD5">
      <w:pPr>
        <w:pStyle w:val="ConsPlusTitle"/>
        <w:jc w:val="center"/>
      </w:pPr>
      <w:r>
        <w:t>ПИСЬМО</w:t>
      </w:r>
    </w:p>
    <w:p w:rsidR="00995FD5" w:rsidRDefault="00995FD5">
      <w:pPr>
        <w:pStyle w:val="ConsPlusTitle"/>
        <w:jc w:val="center"/>
      </w:pPr>
      <w:r>
        <w:t>от 21 июля 2017 г. N 07-04-05/08-595</w:t>
      </w:r>
    </w:p>
    <w:p w:rsidR="00995FD5" w:rsidRDefault="00995FD5">
      <w:pPr>
        <w:pStyle w:val="ConsPlusTitle"/>
        <w:jc w:val="both"/>
      </w:pPr>
    </w:p>
    <w:p w:rsidR="00995FD5" w:rsidRDefault="00995FD5">
      <w:pPr>
        <w:pStyle w:val="ConsPlusTitle"/>
        <w:jc w:val="center"/>
      </w:pPr>
      <w:r>
        <w:t>О КОМПЛЕКТЕ ОТЧЕТНОСТИ</w:t>
      </w:r>
    </w:p>
    <w:p w:rsidR="00995FD5" w:rsidRDefault="00995FD5">
      <w:pPr>
        <w:pStyle w:val="ConsPlusNormal"/>
        <w:jc w:val="both"/>
      </w:pPr>
    </w:p>
    <w:p w:rsidR="00995FD5" w:rsidRDefault="00995FD5">
      <w:pPr>
        <w:pStyle w:val="ConsPlusNormal"/>
        <w:ind w:firstLine="540"/>
        <w:jc w:val="both"/>
      </w:pPr>
      <w:proofErr w:type="gramStart"/>
      <w:r>
        <w:t>Федеральное казначейство в связи с поступающими вопросами о составе представляемой бюджетной (бухгалтерской) отчетности в подсистеме "Учет и отчетность" государственной интегрированной информационной системы управления общественными финансами "Электронный бюджет" разъясняет.</w:t>
      </w:r>
      <w:proofErr w:type="gramEnd"/>
    </w:p>
    <w:p w:rsidR="00995FD5" w:rsidRDefault="00995FD5">
      <w:pPr>
        <w:pStyle w:val="ConsPlusNormal"/>
        <w:spacing w:before="220"/>
        <w:ind w:firstLine="540"/>
        <w:jc w:val="both"/>
      </w:pPr>
      <w:proofErr w:type="gramStart"/>
      <w:r>
        <w:t xml:space="preserve">Состав бюджетной (бухгалтерской) отчетности, представляемой главными распорядителями (распорядителями, получателями)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государственными бюджетными и автономными учреждениями (далее - субъекты отчетности), установлен </w:t>
      </w:r>
      <w:hyperlink r:id="rId6" w:history="1">
        <w:r>
          <w:rPr>
            <w:color w:val="0000FF"/>
          </w:rPr>
          <w:t>Инструкцией</w:t>
        </w:r>
      </w:hyperlink>
      <w: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</w:t>
      </w:r>
      <w:proofErr w:type="gramEnd"/>
      <w:r>
        <w:t xml:space="preserve"> </w:t>
      </w:r>
      <w:proofErr w:type="gramStart"/>
      <w:r>
        <w:t xml:space="preserve">28 декабря 2010 г. N 191н, </w:t>
      </w:r>
      <w:hyperlink r:id="rId7" w:history="1">
        <w:r>
          <w:rPr>
            <w:color w:val="0000FF"/>
          </w:rPr>
          <w:t>Инструкцией</w:t>
        </w:r>
      </w:hyperlink>
      <w:r>
        <w:t xml:space="preserve"> о порядке составления и представления дополнительных форм годовой и квартальной бюджетной отчетности об исполнении федерального бюджета, утвержденной приказом Министерства финансов Российской Федерации от 1 марта 2016 г. N 15н, </w:t>
      </w:r>
      <w:hyperlink r:id="rId8" w:history="1">
        <w:r>
          <w:rPr>
            <w:color w:val="0000FF"/>
          </w:rPr>
          <w:t>Инструкцией</w:t>
        </w:r>
      </w:hyperlink>
      <w:r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 марта</w:t>
      </w:r>
      <w:proofErr w:type="gramEnd"/>
      <w:r>
        <w:t xml:space="preserve"> 2011 г. N 33н и </w:t>
      </w:r>
      <w:hyperlink r:id="rId9" w:history="1">
        <w:r>
          <w:rPr>
            <w:color w:val="0000FF"/>
          </w:rPr>
          <w:t>Инструкцией</w:t>
        </w:r>
      </w:hyperlink>
      <w:r>
        <w:t xml:space="preserve"> о порядке составления и представления дополнительных форм годовой и квартальной бухгалтерской отчетности, утвержденной приказом Министерства финансов Российской Федерации от 12 мая 2016 г. N 60н соответственно, а также методическими документами Министерства финансов Российской Федерации (далее - Инструкции).</w:t>
      </w:r>
    </w:p>
    <w:p w:rsidR="00995FD5" w:rsidRDefault="00995FD5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0" w:history="1">
        <w:proofErr w:type="spellStart"/>
        <w:r>
          <w:rPr>
            <w:color w:val="0000FF"/>
          </w:rPr>
          <w:t>пп</w:t>
        </w:r>
        <w:proofErr w:type="spellEnd"/>
        <w:r>
          <w:rPr>
            <w:color w:val="0000FF"/>
          </w:rPr>
          <w:t>. 2.3.2</w:t>
        </w:r>
      </w:hyperlink>
      <w:r>
        <w:t xml:space="preserve"> Порядка мониторинга в Федеральном казначействе информации, представляемой в подсистему "Учет и отчетность" государственной интегрированной информационной системы управления общественными финансами "Электронный бюджет", утвержденного приказом Федерального казначейства от 30 декабря 2016 г. N 512, территориальные органы Федерального казначейства осуществляют мониторинг соответствия состава отчетности, представленного субъектами отчетности, установленному Инструкциями.</w:t>
      </w:r>
      <w:proofErr w:type="gramEnd"/>
    </w:p>
    <w:p w:rsidR="00995FD5" w:rsidRDefault="00995FD5">
      <w:pPr>
        <w:pStyle w:val="ConsPlusNormal"/>
        <w:spacing w:before="220"/>
        <w:ind w:firstLine="540"/>
        <w:jc w:val="both"/>
      </w:pPr>
      <w:r>
        <w:t>При этом при проведении мониторинга следует обратить внимание, что состав отчетности может отличаться от установленного в связи с бюджетными полномочиями субъекта отчетности, а также при отсутствии в течение отчетного периода показателей форм отчетности. В этой связи субъектом отчетности должна быть создана в подсистеме "Учет и отчетность" государственной интегрированной информационной системы управления общественными финансами "Электронный бюджет" (далее - Подсистема) соответствующая форма отчетности в статусе "Показатели отсутствуют" или отражены в пояснительной записке причины их отсутствия без создания соответствующей формы в Подсистеме.</w:t>
      </w:r>
    </w:p>
    <w:p w:rsidR="00995FD5" w:rsidRDefault="00995FD5">
      <w:pPr>
        <w:pStyle w:val="ConsPlusNormal"/>
        <w:spacing w:before="220"/>
        <w:ind w:firstLine="540"/>
        <w:jc w:val="both"/>
      </w:pPr>
      <w:proofErr w:type="gramStart"/>
      <w:r>
        <w:t xml:space="preserve">При невыполнении субъектом отчетности указанных выше требований по причине полученных рекомендаций вышестоящей организации и (или) наличия ведомственного нормативного акта, устанавливающего иной состав представляемой отчетности, </w:t>
      </w:r>
      <w:r>
        <w:lastRenderedPageBreak/>
        <w:t>территориальному органу Федерального казначейства в мониторинге информации, представляемой в Подсистему, следует отражать несоответствие состава представленной отчетности установленному Инструкциями.</w:t>
      </w:r>
      <w:proofErr w:type="gramEnd"/>
    </w:p>
    <w:p w:rsidR="00995FD5" w:rsidRDefault="00995FD5">
      <w:pPr>
        <w:pStyle w:val="ConsPlusNormal"/>
        <w:jc w:val="both"/>
      </w:pPr>
    </w:p>
    <w:p w:rsidR="00995FD5" w:rsidRDefault="00995FD5">
      <w:pPr>
        <w:pStyle w:val="ConsPlusNormal"/>
        <w:jc w:val="right"/>
      </w:pPr>
      <w:r>
        <w:t>Р.Е.АРТЮХИН</w:t>
      </w:r>
    </w:p>
    <w:p w:rsidR="00995FD5" w:rsidRDefault="00995FD5">
      <w:pPr>
        <w:pStyle w:val="ConsPlusNormal"/>
        <w:jc w:val="both"/>
      </w:pPr>
    </w:p>
    <w:p w:rsidR="00995FD5" w:rsidRDefault="00995FD5">
      <w:pPr>
        <w:pStyle w:val="ConsPlusNormal"/>
        <w:jc w:val="both"/>
      </w:pPr>
    </w:p>
    <w:p w:rsidR="00995FD5" w:rsidRDefault="00995FD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E3498" w:rsidRDefault="00995FD5"/>
    <w:sectPr w:rsidR="005E3498" w:rsidSect="00242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FD5"/>
    <w:rsid w:val="00161304"/>
    <w:rsid w:val="00853544"/>
    <w:rsid w:val="0099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F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F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F8125867E2D70F332C6DCF17378F638C1DB50F64DF32120F81B032F25914C2B7385073437D3D2AiDg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F8125867E2D70F332C6DCF17378F638F14B80463DF32120F81B032F25914C2B7385073437D3822iDg8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F8125867E2D70F332C6DCF17378F638C1DB50F62DF32120F81B032F25914C2B7385073437D3D2AiDg5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1EF8125867E2D70F332C64D610378F63881ABB0864D432120F81B032F25914C2B7385073437D3D28iDg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F8125867E2D70F332C6DCF17378F638F14B40866D532120F81B032F25914C2B7385073437D3E23iDg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Баранукова Ирина Хусиновна</dc:creator>
  <cp:lastModifiedBy>Баранукова Ирина Хусиновна</cp:lastModifiedBy>
  <cp:revision>1</cp:revision>
  <dcterms:created xsi:type="dcterms:W3CDTF">2017-09-27T06:32:00Z</dcterms:created>
  <dcterms:modified xsi:type="dcterms:W3CDTF">2017-09-27T06:33:00Z</dcterms:modified>
</cp:coreProperties>
</file>